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15FC" w14:textId="0A2D7A6E" w:rsidR="00E60C2A" w:rsidRPr="00CD3BC0" w:rsidRDefault="00E60C2A" w:rsidP="00E60C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4DD8">
        <w:rPr>
          <w:rFonts w:ascii="Arial" w:hAnsi="Arial" w:cs="Arial"/>
          <w:b/>
          <w:bCs/>
          <w:sz w:val="24"/>
          <w:szCs w:val="24"/>
        </w:rPr>
        <w:t>AGREGADO VII</w:t>
      </w:r>
    </w:p>
    <w:p w14:paraId="669F5F94" w14:textId="77777777" w:rsidR="00E60C2A" w:rsidRPr="00CD3BC0" w:rsidRDefault="00E60C2A" w:rsidP="00E60C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229480" w14:textId="77777777" w:rsidR="00E60C2A" w:rsidRDefault="00E60C2A" w:rsidP="00E60C2A">
      <w:pPr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LXXVI</w:t>
      </w:r>
      <w:r>
        <w:rPr>
          <w:rFonts w:ascii="Arial" w:hAnsi="Arial" w:cs="Arial"/>
          <w:b/>
          <w:bCs/>
          <w:sz w:val="24"/>
          <w:szCs w:val="24"/>
          <w:lang w:val="es-PY"/>
        </w:rPr>
        <w:t>I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REUNI</w:t>
      </w:r>
      <w:r>
        <w:rPr>
          <w:rFonts w:ascii="Arial" w:hAnsi="Arial" w:cs="Arial"/>
          <w:b/>
          <w:bCs/>
          <w:sz w:val="24"/>
          <w:szCs w:val="24"/>
          <w:lang w:val="es-PY"/>
        </w:rPr>
        <w:t xml:space="preserve">ÃO 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ORDIN</w:t>
      </w:r>
      <w:r>
        <w:rPr>
          <w:rFonts w:ascii="Arial" w:hAnsi="Arial" w:cs="Arial"/>
          <w:b/>
          <w:bCs/>
          <w:sz w:val="24"/>
          <w:szCs w:val="24"/>
          <w:lang w:val="es-PY"/>
        </w:rPr>
        <w:t>Á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RIA D</w:t>
      </w:r>
      <w:r>
        <w:rPr>
          <w:rFonts w:ascii="Arial" w:hAnsi="Arial" w:cs="Arial"/>
          <w:b/>
          <w:bCs/>
          <w:sz w:val="24"/>
          <w:szCs w:val="24"/>
          <w:lang w:val="es-PY"/>
        </w:rPr>
        <w:t>O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SUBGRUPO DE TRABA</w:t>
      </w:r>
      <w:r>
        <w:rPr>
          <w:rFonts w:ascii="Arial" w:hAnsi="Arial" w:cs="Arial"/>
          <w:b/>
          <w:bCs/>
          <w:sz w:val="24"/>
          <w:szCs w:val="24"/>
          <w:lang w:val="es-PY"/>
        </w:rPr>
        <w:t>LH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O </w:t>
      </w:r>
      <w:proofErr w:type="spellStart"/>
      <w:r w:rsidRPr="00C12A9B">
        <w:rPr>
          <w:rFonts w:ascii="Arial" w:hAnsi="Arial" w:cs="Arial"/>
          <w:b/>
          <w:bCs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3 “REG</w:t>
      </w:r>
      <w:r>
        <w:rPr>
          <w:rFonts w:ascii="Arial" w:hAnsi="Arial" w:cs="Arial"/>
          <w:b/>
          <w:bCs/>
          <w:sz w:val="24"/>
          <w:szCs w:val="24"/>
          <w:lang w:val="es-PY"/>
        </w:rPr>
        <w:t>U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LAMENTOS TÉCNICOS 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PY"/>
        </w:rPr>
        <w:t>AVALIAÇÃO D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A CONFORMIDAD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”</w:t>
      </w:r>
    </w:p>
    <w:p w14:paraId="48A79CE9" w14:textId="77777777" w:rsidR="00E60C2A" w:rsidRPr="00C12A9B" w:rsidRDefault="00E60C2A" w:rsidP="00E60C2A">
      <w:pPr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613B6924" w14:textId="77777777" w:rsidR="00E60C2A" w:rsidRDefault="00E60C2A" w:rsidP="00E60C2A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>COMIS</w:t>
      </w:r>
      <w:r>
        <w:rPr>
          <w:rFonts w:ascii="Arial" w:hAnsi="Arial" w:cs="Arial"/>
          <w:b/>
          <w:sz w:val="24"/>
          <w:szCs w:val="24"/>
          <w:lang w:val="es-PY"/>
        </w:rPr>
        <w:t>SÃO</w:t>
      </w: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DE ALIMENTOS </w:t>
      </w:r>
    </w:p>
    <w:p w14:paraId="3F3D6365" w14:textId="77777777" w:rsidR="00E60C2A" w:rsidRPr="00C12A9B" w:rsidRDefault="00E60C2A" w:rsidP="00E60C2A">
      <w:pPr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14:paraId="311AE0F3" w14:textId="77777777" w:rsidR="00E60C2A" w:rsidRPr="00C12A9B" w:rsidRDefault="00E60C2A" w:rsidP="00E60C2A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ATA </w:t>
      </w:r>
      <w:proofErr w:type="spellStart"/>
      <w:r w:rsidRPr="00C12A9B">
        <w:rPr>
          <w:rFonts w:ascii="Arial" w:hAnsi="Arial" w:cs="Arial"/>
          <w:b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0</w:t>
      </w:r>
      <w:r>
        <w:rPr>
          <w:rFonts w:ascii="Arial" w:hAnsi="Arial" w:cs="Arial"/>
          <w:b/>
          <w:sz w:val="24"/>
          <w:szCs w:val="24"/>
          <w:lang w:val="es-PY"/>
        </w:rPr>
        <w:t>3</w:t>
      </w:r>
      <w:r w:rsidRPr="00C12A9B">
        <w:rPr>
          <w:rFonts w:ascii="Arial" w:hAnsi="Arial" w:cs="Arial"/>
          <w:b/>
          <w:sz w:val="24"/>
          <w:szCs w:val="24"/>
          <w:lang w:val="es-PY"/>
        </w:rPr>
        <w:t>/21</w:t>
      </w:r>
    </w:p>
    <w:p w14:paraId="6F349A26" w14:textId="77777777" w:rsidR="00E60C2A" w:rsidRPr="00C12A9B" w:rsidRDefault="00E60C2A" w:rsidP="00E60C2A">
      <w:pPr>
        <w:jc w:val="center"/>
        <w:rPr>
          <w:rFonts w:ascii="Arial" w:hAnsi="Arial"/>
          <w:b/>
          <w:sz w:val="24"/>
          <w:szCs w:val="24"/>
          <w:lang w:val="es-UY"/>
        </w:rPr>
      </w:pPr>
    </w:p>
    <w:p w14:paraId="500A95C5" w14:textId="77777777" w:rsidR="00E60C2A" w:rsidRPr="00CD3BC0" w:rsidRDefault="00E60C2A" w:rsidP="00E60C2A">
      <w:pPr>
        <w:jc w:val="center"/>
        <w:rPr>
          <w:rFonts w:ascii="Arial" w:hAnsi="Arial"/>
          <w:b/>
          <w:sz w:val="24"/>
          <w:szCs w:val="24"/>
        </w:rPr>
      </w:pPr>
      <w:r w:rsidRPr="00CD3BC0">
        <w:rPr>
          <w:rFonts w:ascii="Arial" w:hAnsi="Arial"/>
          <w:b/>
          <w:sz w:val="24"/>
          <w:szCs w:val="24"/>
        </w:rPr>
        <w:t>Bras</w:t>
      </w:r>
      <w:r>
        <w:rPr>
          <w:rFonts w:ascii="Arial" w:hAnsi="Arial"/>
          <w:b/>
          <w:sz w:val="24"/>
          <w:szCs w:val="24"/>
        </w:rPr>
        <w:t>í</w:t>
      </w:r>
      <w:r w:rsidRPr="00CD3BC0">
        <w:rPr>
          <w:rFonts w:ascii="Arial" w:hAnsi="Arial"/>
          <w:b/>
          <w:sz w:val="24"/>
          <w:szCs w:val="24"/>
        </w:rPr>
        <w:t>lia, 20 de agosto a 03 de setembro de 2021</w:t>
      </w:r>
    </w:p>
    <w:p w14:paraId="41208B0C" w14:textId="77777777" w:rsidR="00E60C2A" w:rsidRPr="00CD3BC0" w:rsidRDefault="00E60C2A" w:rsidP="00E60C2A">
      <w:pPr>
        <w:jc w:val="center"/>
        <w:rPr>
          <w:rFonts w:ascii="Arial" w:hAnsi="Arial" w:cs="Arial"/>
          <w:b/>
          <w:szCs w:val="24"/>
        </w:rPr>
      </w:pPr>
    </w:p>
    <w:p w14:paraId="633803B5" w14:textId="77777777" w:rsidR="00E60C2A" w:rsidRDefault="00E60C2A" w:rsidP="00E60C2A">
      <w:pPr>
        <w:jc w:val="center"/>
        <w:rPr>
          <w:rFonts w:ascii="Arial" w:hAnsi="Arial" w:cs="Arial"/>
          <w:b/>
          <w:sz w:val="24"/>
          <w:szCs w:val="24"/>
        </w:rPr>
      </w:pPr>
    </w:p>
    <w:p w14:paraId="743C90A1" w14:textId="7739106C" w:rsidR="00E60C2A" w:rsidRPr="00426812" w:rsidRDefault="00E60C2A" w:rsidP="00E60C2A">
      <w:pPr>
        <w:jc w:val="center"/>
        <w:rPr>
          <w:rFonts w:ascii="Arial" w:hAnsi="Arial" w:cs="Arial"/>
          <w:b/>
          <w:sz w:val="24"/>
          <w:szCs w:val="24"/>
        </w:rPr>
      </w:pPr>
      <w:r w:rsidRPr="00426812">
        <w:rPr>
          <w:rFonts w:ascii="Arial" w:hAnsi="Arial" w:cs="Arial"/>
          <w:b/>
          <w:sz w:val="24"/>
          <w:szCs w:val="24"/>
        </w:rPr>
        <w:t>FORMULÁRIO DE SOLICITAÇÃO DE ELABORAÇÃO, REVISÃO OU REVOGAÇÃO DE RTM OU PMAC</w:t>
      </w:r>
    </w:p>
    <w:p w14:paraId="52855BA3" w14:textId="77777777" w:rsidR="00E60C2A" w:rsidRDefault="00E60C2A" w:rsidP="00E60C2A">
      <w:pPr>
        <w:rPr>
          <w:rFonts w:ascii="Arial" w:hAnsi="Arial" w:cs="Arial"/>
          <w:b/>
          <w:sz w:val="24"/>
          <w:szCs w:val="24"/>
        </w:rPr>
      </w:pPr>
    </w:p>
    <w:p w14:paraId="61194C76" w14:textId="77777777" w:rsidR="00E60C2A" w:rsidRPr="002D050C" w:rsidRDefault="00E60C2A" w:rsidP="00E60C2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9"/>
        <w:gridCol w:w="5321"/>
      </w:tblGrid>
      <w:tr w:rsidR="00E60C2A" w:rsidRPr="009C09D3" w14:paraId="7648BFEB" w14:textId="77777777" w:rsidTr="00E55672">
        <w:tc>
          <w:tcPr>
            <w:tcW w:w="3794" w:type="dxa"/>
          </w:tcPr>
          <w:p w14:paraId="22973950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5416" w:type="dxa"/>
          </w:tcPr>
          <w:p w14:paraId="1E7E81DD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</w:rPr>
            </w:pPr>
            <w:r w:rsidRPr="009C09D3">
              <w:rPr>
                <w:rFonts w:ascii="Arial" w:hAnsi="Arial" w:cs="Arial"/>
              </w:rPr>
              <w:t>08/09/2021</w:t>
            </w:r>
          </w:p>
        </w:tc>
      </w:tr>
      <w:tr w:rsidR="00E60C2A" w:rsidRPr="009C09D3" w14:paraId="10209BB7" w14:textId="77777777" w:rsidTr="00E55672">
        <w:tc>
          <w:tcPr>
            <w:tcW w:w="3794" w:type="dxa"/>
          </w:tcPr>
          <w:p w14:paraId="5FF782E5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>Estado(s) Parte(s) que apresenta(m)</w:t>
            </w:r>
          </w:p>
        </w:tc>
        <w:tc>
          <w:tcPr>
            <w:tcW w:w="5416" w:type="dxa"/>
          </w:tcPr>
          <w:p w14:paraId="35657404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>Argentina, Brasil, Paraguai e Uruguai</w:t>
            </w:r>
          </w:p>
        </w:tc>
      </w:tr>
      <w:tr w:rsidR="00E60C2A" w:rsidRPr="009C09D3" w14:paraId="166A4408" w14:textId="77777777" w:rsidTr="00E55672">
        <w:tc>
          <w:tcPr>
            <w:tcW w:w="3794" w:type="dxa"/>
          </w:tcPr>
          <w:p w14:paraId="4E02824A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>SGT / Comissão / Subcomissão / Grupo envolvido</w:t>
            </w:r>
          </w:p>
        </w:tc>
        <w:tc>
          <w:tcPr>
            <w:tcW w:w="5416" w:type="dxa"/>
          </w:tcPr>
          <w:p w14:paraId="514D1D4F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>SGT nº 3/Comissão de Alimentos</w:t>
            </w:r>
          </w:p>
        </w:tc>
      </w:tr>
    </w:tbl>
    <w:p w14:paraId="05C0A2B4" w14:textId="77777777" w:rsidR="00E60C2A" w:rsidRPr="002D050C" w:rsidRDefault="00E60C2A" w:rsidP="00E60C2A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8"/>
        <w:gridCol w:w="5332"/>
      </w:tblGrid>
      <w:tr w:rsidR="00E60C2A" w:rsidRPr="009C09D3" w14:paraId="75AE07AE" w14:textId="77777777" w:rsidTr="00E55672">
        <w:tc>
          <w:tcPr>
            <w:tcW w:w="9210" w:type="dxa"/>
            <w:gridSpan w:val="2"/>
          </w:tcPr>
          <w:p w14:paraId="4A2E84EB" w14:textId="77777777" w:rsidR="00E60C2A" w:rsidRPr="009C09D3" w:rsidRDefault="00E60C2A" w:rsidP="00E55672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9C09D3">
              <w:rPr>
                <w:rFonts w:ascii="Arial" w:hAnsi="Arial" w:cs="Arial"/>
                <w:b/>
                <w:lang w:val="pt-BR"/>
              </w:rPr>
              <w:t>Descrição da solicitação / Escopo</w:t>
            </w:r>
          </w:p>
        </w:tc>
      </w:tr>
      <w:tr w:rsidR="00E60C2A" w:rsidRPr="009C09D3" w14:paraId="524176DA" w14:textId="77777777" w:rsidTr="00E55672">
        <w:tc>
          <w:tcPr>
            <w:tcW w:w="3794" w:type="dxa"/>
          </w:tcPr>
          <w:p w14:paraId="30699606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>Temática</w:t>
            </w:r>
          </w:p>
          <w:p w14:paraId="5DAD28BD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 xml:space="preserve">(o objeto a </w:t>
            </w:r>
            <w:proofErr w:type="spellStart"/>
            <w:r w:rsidRPr="009C09D3">
              <w:rPr>
                <w:rFonts w:ascii="Arial" w:hAnsi="Arial" w:cs="Arial"/>
                <w:lang w:val="pt-BR"/>
              </w:rPr>
              <w:t>se</w:t>
            </w:r>
            <w:proofErr w:type="spellEnd"/>
            <w:r w:rsidRPr="009C09D3">
              <w:rPr>
                <w:rFonts w:ascii="Arial" w:hAnsi="Arial" w:cs="Arial"/>
                <w:lang w:val="pt-BR"/>
              </w:rPr>
              <w:t xml:space="preserve"> regulamentar)</w:t>
            </w:r>
          </w:p>
        </w:tc>
        <w:tc>
          <w:tcPr>
            <w:tcW w:w="5416" w:type="dxa"/>
          </w:tcPr>
          <w:p w14:paraId="5700BC37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i/>
                <w:highlight w:val="yellow"/>
                <w:lang w:val="pt-BR"/>
              </w:rPr>
            </w:pPr>
            <w:r w:rsidRPr="009C09D3">
              <w:rPr>
                <w:rFonts w:ascii="Arial" w:hAnsi="Arial" w:cs="Arial"/>
                <w:i/>
                <w:lang w:val="pt-BR"/>
              </w:rPr>
              <w:t>Revisar as provisões de dióxido de titânio aprovadas como aditivos alimentares nos Regulamentos Técnicos harmonizados no MERCOSUL</w:t>
            </w:r>
          </w:p>
        </w:tc>
      </w:tr>
      <w:tr w:rsidR="00E60C2A" w:rsidRPr="009C09D3" w14:paraId="6B3DD234" w14:textId="77777777" w:rsidTr="00E55672">
        <w:tc>
          <w:tcPr>
            <w:tcW w:w="3794" w:type="dxa"/>
          </w:tcPr>
          <w:p w14:paraId="3479601D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</w:rPr>
            </w:pPr>
            <w:r w:rsidRPr="009C09D3">
              <w:rPr>
                <w:rFonts w:ascii="Arial" w:hAnsi="Arial" w:cs="Arial"/>
              </w:rPr>
              <w:t>Problema</w:t>
            </w:r>
          </w:p>
        </w:tc>
        <w:tc>
          <w:tcPr>
            <w:tcW w:w="5416" w:type="dxa"/>
          </w:tcPr>
          <w:p w14:paraId="2F6906FD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i/>
                <w:lang w:val="pt-BR"/>
              </w:rPr>
            </w:pPr>
            <w:r w:rsidRPr="009C09D3">
              <w:rPr>
                <w:rFonts w:ascii="Arial" w:hAnsi="Arial" w:cs="Arial"/>
                <w:i/>
                <w:lang w:val="pt-BR"/>
              </w:rPr>
              <w:t xml:space="preserve">O dióxido de titânio foi considerado como substância </w:t>
            </w:r>
            <w:proofErr w:type="spellStart"/>
            <w:r w:rsidRPr="009C09D3">
              <w:rPr>
                <w:rFonts w:ascii="Arial" w:hAnsi="Arial" w:cs="Arial"/>
                <w:i/>
                <w:lang w:val="pt-BR"/>
              </w:rPr>
              <w:t>genotóxica</w:t>
            </w:r>
            <w:proofErr w:type="spellEnd"/>
            <w:r w:rsidRPr="009C09D3">
              <w:rPr>
                <w:rFonts w:ascii="Arial" w:hAnsi="Arial" w:cs="Arial"/>
                <w:i/>
                <w:lang w:val="pt-BR"/>
              </w:rPr>
              <w:t xml:space="preserve"> e, portanto, seu uso como aditivo alimentar não é mais considerado seguro. A substância possui aprovação de uso como aditivo alimentar em diversos RTM</w:t>
            </w:r>
          </w:p>
        </w:tc>
      </w:tr>
      <w:tr w:rsidR="00E60C2A" w:rsidRPr="009C09D3" w14:paraId="3B3E2470" w14:textId="77777777" w:rsidTr="00E55672">
        <w:tc>
          <w:tcPr>
            <w:tcW w:w="3794" w:type="dxa"/>
          </w:tcPr>
          <w:p w14:paraId="3DB5FADE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>Indique o caso correspondente</w:t>
            </w:r>
          </w:p>
          <w:p w14:paraId="0965F8BC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 xml:space="preserve">(assinalar </w:t>
            </w:r>
            <w:r w:rsidRPr="009C09D3">
              <w:rPr>
                <w:rFonts w:ascii="Arial" w:hAnsi="Arial" w:cs="Arial"/>
                <w:u w:val="single"/>
                <w:lang w:val="pt-BR"/>
              </w:rPr>
              <w:t>uma</w:t>
            </w:r>
            <w:r w:rsidRPr="009C09D3">
              <w:rPr>
                <w:rFonts w:ascii="Arial" w:hAnsi="Arial" w:cs="Arial"/>
                <w:lang w:val="pt-BR"/>
              </w:rPr>
              <w:t xml:space="preserve"> opção que corresponda)</w:t>
            </w:r>
          </w:p>
          <w:p w14:paraId="2803EEDC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5416" w:type="dxa"/>
          </w:tcPr>
          <w:p w14:paraId="39EF27FE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proofErr w:type="gramStart"/>
            <w:r w:rsidRPr="009C09D3">
              <w:rPr>
                <w:rFonts w:ascii="Arial" w:hAnsi="Arial" w:cs="Arial"/>
                <w:lang w:val="pt-BR"/>
              </w:rPr>
              <w:t>(  )</w:t>
            </w:r>
            <w:proofErr w:type="gramEnd"/>
            <w:r w:rsidRPr="009C09D3">
              <w:rPr>
                <w:rFonts w:ascii="Arial" w:hAnsi="Arial" w:cs="Arial"/>
                <w:lang w:val="pt-BR"/>
              </w:rPr>
              <w:t xml:space="preserve"> Elaboração de novo RTM ou PMAC</w:t>
            </w:r>
          </w:p>
          <w:p w14:paraId="26DE0C59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>(</w:t>
            </w:r>
            <w:proofErr w:type="gramStart"/>
            <w:r w:rsidRPr="009C09D3">
              <w:rPr>
                <w:rFonts w:ascii="Arial" w:hAnsi="Arial" w:cs="Arial"/>
                <w:lang w:val="pt-BR"/>
              </w:rPr>
              <w:t>x )</w:t>
            </w:r>
            <w:proofErr w:type="gramEnd"/>
            <w:r w:rsidRPr="009C09D3">
              <w:rPr>
                <w:rFonts w:ascii="Arial" w:hAnsi="Arial" w:cs="Arial"/>
                <w:lang w:val="pt-BR"/>
              </w:rPr>
              <w:t xml:space="preserve"> Revisão de RTM ou PMAC</w:t>
            </w:r>
          </w:p>
          <w:p w14:paraId="2F8C7A57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proofErr w:type="gramStart"/>
            <w:r w:rsidRPr="009C09D3">
              <w:rPr>
                <w:rFonts w:ascii="Arial" w:hAnsi="Arial" w:cs="Arial"/>
                <w:lang w:val="pt-BR"/>
              </w:rPr>
              <w:t>(  )</w:t>
            </w:r>
            <w:proofErr w:type="gramEnd"/>
            <w:r w:rsidRPr="009C09D3">
              <w:rPr>
                <w:rFonts w:ascii="Arial" w:hAnsi="Arial" w:cs="Arial"/>
                <w:lang w:val="pt-BR"/>
              </w:rPr>
              <w:t xml:space="preserve"> Revogação de RTM ou PMAC</w:t>
            </w:r>
          </w:p>
        </w:tc>
      </w:tr>
      <w:tr w:rsidR="00E60C2A" w:rsidRPr="009C09D3" w14:paraId="0C118305" w14:textId="77777777" w:rsidTr="00E55672">
        <w:tc>
          <w:tcPr>
            <w:tcW w:w="3794" w:type="dxa"/>
          </w:tcPr>
          <w:p w14:paraId="5A08A571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 xml:space="preserve">RTM / PMAC afetado(s) </w:t>
            </w:r>
          </w:p>
          <w:p w14:paraId="18BFC834" w14:textId="77777777" w:rsidR="00E60C2A" w:rsidRPr="009C09D3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9C09D3">
              <w:rPr>
                <w:rFonts w:ascii="Arial" w:hAnsi="Arial" w:cs="Arial"/>
                <w:lang w:val="pt-BR"/>
              </w:rPr>
              <w:t>No caso de ser necessária revisão somente de parte da Resolução, indicar os pontos a serem revisados ou o alcance da revisão.</w:t>
            </w:r>
          </w:p>
        </w:tc>
        <w:tc>
          <w:tcPr>
            <w:tcW w:w="5416" w:type="dxa"/>
          </w:tcPr>
          <w:p w14:paraId="107038CD" w14:textId="77777777" w:rsidR="00E60C2A" w:rsidRPr="009C09D3" w:rsidRDefault="00E60C2A" w:rsidP="00E55672">
            <w:pPr>
              <w:pStyle w:val="textojustificado"/>
              <w:spacing w:before="0" w:beforeAutospacing="0" w:after="0" w:afterAutospacing="0"/>
              <w:ind w:right="119"/>
              <w:jc w:val="both"/>
              <w:rPr>
                <w:rFonts w:ascii="Calibri" w:hAnsi="Calibri" w:cs="Calibri"/>
                <w:lang w:val="pt-BR"/>
              </w:rPr>
            </w:pPr>
            <w:r w:rsidRPr="009C09D3">
              <w:rPr>
                <w:rFonts w:ascii="Calibri" w:hAnsi="Calibri" w:cs="Calibri"/>
                <w:lang w:val="pt-BR"/>
              </w:rPr>
              <w:t xml:space="preserve">Retirar as provisões de uso do dióxido de titânio como aditivo alimentar corante </w:t>
            </w:r>
            <w:r w:rsidRPr="009C09D3">
              <w:rPr>
                <w:rFonts w:ascii="Calibri" w:hAnsi="Calibri" w:cs="Calibri"/>
                <w:strike/>
                <w:lang w:val="pt-BR"/>
              </w:rPr>
              <w:t>para as</w:t>
            </w:r>
            <w:r w:rsidRPr="009C09D3">
              <w:rPr>
                <w:rFonts w:ascii="Calibri" w:hAnsi="Calibri" w:cs="Calibri"/>
                <w:lang w:val="pt-BR"/>
              </w:rPr>
              <w:t xml:space="preserve"> dos seguintes </w:t>
            </w:r>
            <w:proofErr w:type="spellStart"/>
            <w:r w:rsidRPr="009C09D3">
              <w:rPr>
                <w:rFonts w:ascii="Calibri" w:hAnsi="Calibri" w:cs="Calibri"/>
                <w:strike/>
                <w:lang w:val="pt-BR"/>
              </w:rPr>
              <w:t>categorías</w:t>
            </w:r>
            <w:proofErr w:type="spellEnd"/>
            <w:r w:rsidRPr="009C09D3">
              <w:rPr>
                <w:rFonts w:ascii="Calibri" w:hAnsi="Calibri" w:cs="Calibri"/>
                <w:strike/>
                <w:lang w:val="pt-BR"/>
              </w:rPr>
              <w:t xml:space="preserve"> de alimentos </w:t>
            </w:r>
            <w:r w:rsidRPr="009C09D3">
              <w:rPr>
                <w:rFonts w:ascii="Calibri" w:hAnsi="Calibri" w:cs="Calibri"/>
                <w:lang w:val="pt-BR"/>
              </w:rPr>
              <w:t>Regulamentos Técnicos MERCOSUL:</w:t>
            </w:r>
          </w:p>
          <w:p w14:paraId="3C3FD602" w14:textId="77777777" w:rsidR="00E60C2A" w:rsidRPr="009C09D3" w:rsidRDefault="00E60C2A" w:rsidP="00E55672">
            <w:pPr>
              <w:pStyle w:val="textojustificado"/>
              <w:spacing w:before="0" w:beforeAutospacing="0" w:after="0" w:afterAutospacing="0"/>
              <w:ind w:right="119"/>
              <w:jc w:val="both"/>
              <w:rPr>
                <w:rFonts w:ascii="Calibri" w:hAnsi="Calibri" w:cs="Calibri"/>
                <w:lang w:val="pt-BR"/>
              </w:rPr>
            </w:pPr>
          </w:p>
          <w:p w14:paraId="7801D3C7" w14:textId="77777777" w:rsidR="00E60C2A" w:rsidRPr="009C09D3" w:rsidRDefault="00E60C2A" w:rsidP="00E55672">
            <w:pPr>
              <w:pStyle w:val="textojustificado"/>
              <w:spacing w:before="0" w:beforeAutospacing="0" w:after="0" w:afterAutospacing="0"/>
              <w:ind w:right="119"/>
              <w:jc w:val="both"/>
              <w:rPr>
                <w:rFonts w:ascii="Calibri" w:hAnsi="Calibri" w:cs="Calibri"/>
                <w:lang w:val="es-AR"/>
              </w:rPr>
            </w:pPr>
            <w:r w:rsidRPr="009C09D3">
              <w:rPr>
                <w:rFonts w:ascii="Calibri" w:hAnsi="Calibri" w:cs="Calibri"/>
                <w:lang w:val="pt-BR"/>
              </w:rPr>
              <w:t xml:space="preserve">Resolução GMC n. </w:t>
            </w:r>
            <w:r w:rsidRPr="009C09D3">
              <w:rPr>
                <w:rFonts w:ascii="Calibri" w:hAnsi="Calibri" w:cs="Calibri"/>
                <w:lang w:val="es-AR"/>
              </w:rPr>
              <w:t xml:space="preserve">11/06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Regulamento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Técnico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Mercosul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Sobre “Lista Geral Harmonizada de Aditivos Alimentares e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Suas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Classes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Funcionais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>”</w:t>
            </w:r>
          </w:p>
          <w:p w14:paraId="79267D50" w14:textId="77777777" w:rsidR="00E60C2A" w:rsidRPr="009C09D3" w:rsidRDefault="00E60C2A" w:rsidP="00E55672">
            <w:pPr>
              <w:pStyle w:val="textojustificado"/>
              <w:spacing w:before="0" w:beforeAutospacing="0" w:after="0" w:afterAutospacing="0"/>
              <w:ind w:right="119"/>
              <w:jc w:val="both"/>
              <w:rPr>
                <w:rFonts w:ascii="Calibri" w:hAnsi="Calibri" w:cs="Calibri"/>
                <w:lang w:val="es-AR"/>
              </w:rPr>
            </w:pPr>
          </w:p>
          <w:p w14:paraId="54A2685D" w14:textId="77777777" w:rsidR="00E60C2A" w:rsidRPr="009C09D3" w:rsidRDefault="00E60C2A" w:rsidP="00E55672">
            <w:pPr>
              <w:pStyle w:val="textojustificado"/>
              <w:spacing w:before="0" w:beforeAutospacing="0" w:after="0" w:afterAutospacing="0"/>
              <w:ind w:right="119"/>
              <w:jc w:val="both"/>
              <w:rPr>
                <w:rFonts w:ascii="Calibri" w:hAnsi="Calibri" w:cs="Calibri"/>
                <w:lang w:val="es-AR"/>
              </w:rPr>
            </w:pPr>
            <w:r w:rsidRPr="009C09D3">
              <w:rPr>
                <w:rFonts w:ascii="Calibri" w:hAnsi="Calibri" w:cs="Calibri"/>
                <w:lang w:val="pt-BR"/>
              </w:rPr>
              <w:t xml:space="preserve">Resolução </w:t>
            </w:r>
            <w:r w:rsidRPr="009C09D3">
              <w:rPr>
                <w:rFonts w:ascii="Calibri" w:hAnsi="Calibri" w:cs="Calibri"/>
                <w:lang w:val="es-AR"/>
              </w:rPr>
              <w:t xml:space="preserve">GMC n. 134/96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Identidade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e Qualidade de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Queijo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Processado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ou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Fundido,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Processado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Pasteurizado e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Processado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ou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Fundido U.H.T.(UAT).</w:t>
            </w:r>
          </w:p>
          <w:p w14:paraId="758A8CD3" w14:textId="77777777" w:rsidR="00E60C2A" w:rsidRPr="009C09D3" w:rsidRDefault="00E60C2A" w:rsidP="00E55672">
            <w:pPr>
              <w:pStyle w:val="textojustificado"/>
              <w:ind w:right="119"/>
              <w:jc w:val="both"/>
              <w:rPr>
                <w:rFonts w:ascii="Calibri" w:hAnsi="Calibri" w:cs="Calibri"/>
                <w:lang w:val="es-AR"/>
              </w:rPr>
            </w:pPr>
            <w:r w:rsidRPr="009C09D3">
              <w:rPr>
                <w:rFonts w:ascii="Calibri" w:hAnsi="Calibri" w:cs="Calibri"/>
                <w:lang w:val="pt-BR"/>
              </w:rPr>
              <w:lastRenderedPageBreak/>
              <w:t xml:space="preserve">Resolução </w:t>
            </w:r>
            <w:r w:rsidRPr="009C09D3">
              <w:rPr>
                <w:rFonts w:ascii="Calibri" w:hAnsi="Calibri" w:cs="Calibri"/>
                <w:lang w:val="es-AR"/>
              </w:rPr>
              <w:t xml:space="preserve">GMC n. 136/96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Regulamento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Técnico MERCOSUL de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Identidade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e Qualidade de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Queijo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em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Pó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. </w:t>
            </w:r>
            <w:r w:rsidRPr="009C09D3">
              <w:rPr>
                <w:rFonts w:ascii="Calibri" w:hAnsi="Calibri" w:cs="Calibri"/>
                <w:lang w:val="es-AR"/>
              </w:rPr>
              <w:tab/>
            </w:r>
          </w:p>
          <w:p w14:paraId="5F498112" w14:textId="77777777" w:rsidR="00E60C2A" w:rsidRPr="009C09D3" w:rsidRDefault="00E60C2A" w:rsidP="00E55672">
            <w:pPr>
              <w:pStyle w:val="textojustificado"/>
              <w:ind w:right="119"/>
              <w:jc w:val="both"/>
              <w:rPr>
                <w:rFonts w:ascii="Calibri" w:hAnsi="Calibri" w:cs="Calibri"/>
                <w:lang w:val="es-AR"/>
              </w:rPr>
            </w:pPr>
            <w:r w:rsidRPr="009C09D3">
              <w:rPr>
                <w:rFonts w:ascii="Calibri" w:hAnsi="Calibri" w:cs="Calibri"/>
                <w:lang w:val="pt-BR"/>
              </w:rPr>
              <w:t xml:space="preserve">Resolução </w:t>
            </w:r>
            <w:r w:rsidRPr="009C09D3">
              <w:rPr>
                <w:rFonts w:ascii="Calibri" w:hAnsi="Calibri" w:cs="Calibri"/>
                <w:lang w:val="es-AR"/>
              </w:rPr>
              <w:t xml:space="preserve">GMC n. 82/96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Regulamento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Técnico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Mercosul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de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Identidade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e Qualidade do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Requeijão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ab/>
              <w:t xml:space="preserve"> </w:t>
            </w:r>
          </w:p>
          <w:p w14:paraId="21E98AA6" w14:textId="77777777" w:rsidR="00E60C2A" w:rsidRPr="009C09D3" w:rsidRDefault="00E60C2A" w:rsidP="00E55672">
            <w:pPr>
              <w:pStyle w:val="textojustificado"/>
              <w:ind w:right="119"/>
              <w:jc w:val="both"/>
              <w:rPr>
                <w:rFonts w:ascii="Calibri" w:hAnsi="Calibri" w:cs="Calibri"/>
                <w:lang w:val="es-AR"/>
              </w:rPr>
            </w:pPr>
            <w:r w:rsidRPr="009C09D3">
              <w:rPr>
                <w:rFonts w:ascii="Calibri" w:hAnsi="Calibri" w:cs="Calibri"/>
                <w:lang w:val="pt-BR"/>
              </w:rPr>
              <w:t xml:space="preserve">Resolução </w:t>
            </w:r>
            <w:r w:rsidRPr="009C09D3">
              <w:rPr>
                <w:rFonts w:ascii="Calibri" w:hAnsi="Calibri" w:cs="Calibri"/>
                <w:lang w:val="es-AR"/>
              </w:rPr>
              <w:t xml:space="preserve">GMC n. 78/96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Regulamento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Técnico MERCOSUL de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Identidade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e Qualidade do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Queijo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Mozzarella (Muzzarella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ou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Mussarela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>)</w:t>
            </w:r>
          </w:p>
          <w:p w14:paraId="1778C67E" w14:textId="77777777" w:rsidR="00E60C2A" w:rsidRPr="009C09D3" w:rsidRDefault="00E60C2A" w:rsidP="00E55672">
            <w:pPr>
              <w:pStyle w:val="textojustificado"/>
              <w:ind w:right="119"/>
              <w:jc w:val="both"/>
              <w:rPr>
                <w:rFonts w:ascii="Calibri" w:hAnsi="Calibri" w:cs="Calibri"/>
                <w:lang w:val="es-AR"/>
              </w:rPr>
            </w:pPr>
            <w:r w:rsidRPr="009C09D3">
              <w:rPr>
                <w:rFonts w:ascii="Calibri" w:hAnsi="Calibri" w:cs="Calibri"/>
                <w:lang w:val="pt-BR"/>
              </w:rPr>
              <w:t xml:space="preserve">Resolução </w:t>
            </w:r>
            <w:r w:rsidRPr="009C09D3">
              <w:rPr>
                <w:rFonts w:ascii="Calibri" w:hAnsi="Calibri" w:cs="Calibri"/>
                <w:lang w:val="es-AR"/>
              </w:rPr>
              <w:t xml:space="preserve">GMC n. 79/94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Regulamento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Técnico Geral MERCOSUL de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Identidade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 xml:space="preserve"> e Qualidade de </w:t>
            </w:r>
            <w:proofErr w:type="spellStart"/>
            <w:r w:rsidRPr="009C09D3">
              <w:rPr>
                <w:rFonts w:ascii="Calibri" w:hAnsi="Calibri" w:cs="Calibri"/>
                <w:lang w:val="es-AR"/>
              </w:rPr>
              <w:t>Queijos</w:t>
            </w:r>
            <w:proofErr w:type="spellEnd"/>
            <w:r w:rsidRPr="009C09D3">
              <w:rPr>
                <w:rFonts w:ascii="Calibri" w:hAnsi="Calibri" w:cs="Calibri"/>
                <w:lang w:val="es-AR"/>
              </w:rPr>
              <w:tab/>
            </w:r>
          </w:p>
          <w:p w14:paraId="0F638E7E" w14:textId="77777777" w:rsidR="00E60C2A" w:rsidRPr="009C09D3" w:rsidRDefault="00E60C2A" w:rsidP="00E55672">
            <w:pPr>
              <w:pStyle w:val="textojustificado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119" w:firstLine="0"/>
              <w:jc w:val="both"/>
              <w:rPr>
                <w:rFonts w:ascii="Calibri" w:hAnsi="Calibri" w:cs="Calibri"/>
                <w:lang w:val="pt-BR"/>
              </w:rPr>
            </w:pPr>
            <w:r w:rsidRPr="009C09D3">
              <w:rPr>
                <w:rFonts w:ascii="Calibri" w:hAnsi="Calibri" w:cs="Calibri"/>
                <w:lang w:val="pt-BR"/>
              </w:rPr>
              <w:t>Resolução GMC n. 50/1997 Regulamento Técnico atribuição de aditivos e sua concentração máxima para a categoria de alimentos 7: produtos de panificação</w:t>
            </w:r>
          </w:p>
          <w:p w14:paraId="795E2C85" w14:textId="77777777" w:rsidR="00E60C2A" w:rsidRPr="009C09D3" w:rsidRDefault="00E60C2A" w:rsidP="00E55672">
            <w:pPr>
              <w:pStyle w:val="textojustificado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119" w:firstLine="0"/>
              <w:jc w:val="both"/>
              <w:rPr>
                <w:rFonts w:ascii="Calibri" w:hAnsi="Calibri" w:cs="Calibri"/>
                <w:lang w:val="pt-BR"/>
              </w:rPr>
            </w:pPr>
            <w:r w:rsidRPr="009C09D3">
              <w:rPr>
                <w:rFonts w:ascii="Calibri" w:hAnsi="Calibri" w:cs="Calibri"/>
                <w:lang w:val="pt-BR"/>
              </w:rPr>
              <w:t>Resolução GMC n. 54/1998 “Regulamento Técnico atribuição de aditivos e seus limites máximos para a categoria de alimentos 19: sobremesas”</w:t>
            </w:r>
          </w:p>
          <w:p w14:paraId="2CDEE5BA" w14:textId="77777777" w:rsidR="00E60C2A" w:rsidRPr="009C09D3" w:rsidRDefault="00E60C2A" w:rsidP="00E55672">
            <w:pPr>
              <w:pStyle w:val="textojustificado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119" w:firstLine="0"/>
              <w:jc w:val="both"/>
              <w:rPr>
                <w:rFonts w:ascii="Calibri" w:hAnsi="Calibri" w:cs="Calibri"/>
                <w:lang w:val="pt-BR"/>
              </w:rPr>
            </w:pPr>
            <w:r w:rsidRPr="009C09D3">
              <w:rPr>
                <w:rFonts w:ascii="Calibri" w:hAnsi="Calibri" w:cs="Calibri"/>
                <w:lang w:val="pt-BR"/>
              </w:rPr>
              <w:t>Resolução GMC n. 53/98, Regulamento Técnico de “atribuição de aditivos e seus limites máximos para a categoria de alimentos 5: balas, confeitos, bombons, chocolates e similares”</w:t>
            </w:r>
          </w:p>
          <w:p w14:paraId="7E1FCA56" w14:textId="77777777" w:rsidR="00E60C2A" w:rsidRPr="009C09D3" w:rsidRDefault="00E60C2A" w:rsidP="00E55672">
            <w:pPr>
              <w:pStyle w:val="textojustificado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119" w:firstLine="0"/>
              <w:jc w:val="both"/>
              <w:rPr>
                <w:rFonts w:ascii="Calibri" w:hAnsi="Calibri" w:cs="Calibri"/>
                <w:lang w:val="pt-BR"/>
              </w:rPr>
            </w:pPr>
            <w:r w:rsidRPr="009C09D3">
              <w:rPr>
                <w:rFonts w:ascii="Calibri" w:hAnsi="Calibri" w:cs="Calibri"/>
                <w:lang w:val="pt-BR"/>
              </w:rPr>
              <w:t>Resolução GMC n. 16/2000, Regulamento Técnico Mercosul “atribuição de aditivos e seus limites máximos para a categoria de alimentos 12 – sopas e caldos”</w:t>
            </w:r>
          </w:p>
          <w:p w14:paraId="24A2472B" w14:textId="77777777" w:rsidR="00E60C2A" w:rsidRPr="009C09D3" w:rsidRDefault="00E60C2A" w:rsidP="00E55672">
            <w:pPr>
              <w:pStyle w:val="textojustificado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119" w:firstLine="0"/>
              <w:jc w:val="both"/>
              <w:rPr>
                <w:rFonts w:ascii="Calibri" w:hAnsi="Calibri" w:cs="Calibri"/>
                <w:lang w:val="pt-BR"/>
              </w:rPr>
            </w:pPr>
            <w:r w:rsidRPr="009C09D3">
              <w:rPr>
                <w:rFonts w:ascii="Calibri" w:hAnsi="Calibri" w:cs="Calibri"/>
                <w:lang w:val="pt-BR"/>
              </w:rPr>
              <w:t>Resolução GMC n. 51/00 Regulamento Técnico Mercosul atribuição de aditivos e seus limites máximos para a categoria de alimentos 21 – preparações culinárias industriais|</w:t>
            </w:r>
          </w:p>
          <w:p w14:paraId="00911544" w14:textId="77777777" w:rsidR="00E60C2A" w:rsidRPr="009C09D3" w:rsidRDefault="00E60C2A" w:rsidP="00E55672">
            <w:pPr>
              <w:pStyle w:val="textojustificado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119" w:firstLine="0"/>
              <w:jc w:val="both"/>
              <w:rPr>
                <w:rFonts w:ascii="Calibri" w:hAnsi="Calibri" w:cs="Calibri"/>
                <w:lang w:val="pt-BR"/>
              </w:rPr>
            </w:pPr>
            <w:r w:rsidRPr="009C09D3">
              <w:rPr>
                <w:rFonts w:ascii="Calibri" w:hAnsi="Calibri" w:cs="Calibri"/>
                <w:lang w:val="pt-BR"/>
              </w:rPr>
              <w:t>Resolução GMC n.7/2006, Regulamento Técnico Mercosul sobre “atribuição de aditivos e seus limites máximos para a categoria de alimentos 3: gelados comestíveis”</w:t>
            </w:r>
          </w:p>
          <w:p w14:paraId="58E9809B" w14:textId="77777777" w:rsidR="00E60C2A" w:rsidRPr="009C09D3" w:rsidRDefault="00E60C2A" w:rsidP="00E55672">
            <w:pPr>
              <w:pStyle w:val="textojustificado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119" w:firstLine="0"/>
              <w:jc w:val="both"/>
              <w:rPr>
                <w:rFonts w:ascii="Calibri" w:hAnsi="Calibri" w:cs="Calibri"/>
                <w:lang w:val="pt-BR"/>
              </w:rPr>
            </w:pPr>
            <w:r w:rsidRPr="009C09D3">
              <w:rPr>
                <w:rFonts w:ascii="Calibri" w:hAnsi="Calibri" w:cs="Calibri"/>
                <w:lang w:val="pt-BR"/>
              </w:rPr>
              <w:t>Resolução GMC n. 8/2006, Regulamento Técnico Mercosul sobre “atribuição de aditivos e seus limites máximos para a categoria de alimentos 13: molhos e condimentos”</w:t>
            </w:r>
          </w:p>
          <w:p w14:paraId="10F7AF47" w14:textId="77777777" w:rsidR="00E60C2A" w:rsidRPr="009C09D3" w:rsidRDefault="00E60C2A" w:rsidP="00E55672">
            <w:pPr>
              <w:pStyle w:val="textojustificado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119" w:firstLine="0"/>
              <w:jc w:val="both"/>
              <w:rPr>
                <w:rFonts w:ascii="Calibri" w:hAnsi="Calibri" w:cs="Calibri"/>
                <w:lang w:val="pt-BR"/>
              </w:rPr>
            </w:pPr>
            <w:r w:rsidRPr="009C09D3">
              <w:rPr>
                <w:rFonts w:ascii="Calibri" w:hAnsi="Calibri" w:cs="Calibri"/>
                <w:lang w:val="pt-BR"/>
              </w:rPr>
              <w:t xml:space="preserve">Resolução GMC n. 9/2006 Regulamento Técnico Mercosul sobre “atribuição de aditivos e seus limites máximos para a categoria de alimentos </w:t>
            </w:r>
            <w:r w:rsidRPr="009C09D3">
              <w:rPr>
                <w:rFonts w:ascii="Calibri" w:hAnsi="Calibri" w:cs="Calibri"/>
                <w:lang w:val="pt-BR"/>
              </w:rPr>
              <w:lastRenderedPageBreak/>
              <w:t>16.2: bebidas não alcoólicas, subcategoria 16.2.2: bebidas não alcoólicas gaseificadas e não gaseificadas”</w:t>
            </w:r>
          </w:p>
          <w:p w14:paraId="090BE421" w14:textId="77777777" w:rsidR="00E60C2A" w:rsidRPr="009C09D3" w:rsidRDefault="00E60C2A" w:rsidP="00E55672">
            <w:pPr>
              <w:pStyle w:val="textojustificado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119" w:firstLine="0"/>
              <w:jc w:val="both"/>
              <w:rPr>
                <w:rFonts w:ascii="Calibri" w:hAnsi="Calibri" w:cs="Calibri"/>
                <w:lang w:val="pt-BR"/>
              </w:rPr>
            </w:pPr>
            <w:r w:rsidRPr="009C09D3">
              <w:rPr>
                <w:rFonts w:ascii="Calibri" w:hAnsi="Calibri" w:cs="Calibri"/>
                <w:lang w:val="pt-BR"/>
              </w:rPr>
              <w:t>Resolução GMC n. 9/2007, Regulamento Técnico Mercosul sobre “atribuição de aditivos e seus limites máximos para a categoria de alimentos 6:cereais e produtos de/ou a base de cereais”</w:t>
            </w:r>
          </w:p>
          <w:p w14:paraId="283B7558" w14:textId="77777777" w:rsidR="00E60C2A" w:rsidRPr="009C09D3" w:rsidRDefault="00E60C2A" w:rsidP="00E55672">
            <w:pPr>
              <w:pStyle w:val="textojustificado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119" w:firstLine="0"/>
              <w:jc w:val="both"/>
              <w:rPr>
                <w:rFonts w:ascii="Calibri" w:hAnsi="Calibri" w:cs="Calibri"/>
              </w:rPr>
            </w:pPr>
            <w:r w:rsidRPr="009C09D3">
              <w:rPr>
                <w:rFonts w:ascii="Calibri" w:hAnsi="Calibri" w:cs="Calibri"/>
                <w:lang w:val="pt-BR"/>
              </w:rPr>
              <w:t xml:space="preserve">Resolução GMC n. 34/2010, Regulamento Técnico Mercosul sobre aditivos alimentares autorizados para uso segundo as boas práticas de fabricação (BPF) (revogação da Res. </w:t>
            </w:r>
            <w:r w:rsidRPr="009C09D3">
              <w:rPr>
                <w:rFonts w:ascii="Calibri" w:hAnsi="Calibri" w:cs="Calibri"/>
              </w:rPr>
              <w:t xml:space="preserve">GMC </w:t>
            </w:r>
            <w:proofErr w:type="spellStart"/>
            <w:r w:rsidRPr="009C09D3">
              <w:rPr>
                <w:rFonts w:ascii="Calibri" w:hAnsi="Calibri" w:cs="Calibri"/>
              </w:rPr>
              <w:t>nº</w:t>
            </w:r>
            <w:proofErr w:type="spellEnd"/>
            <w:r w:rsidRPr="009C09D3">
              <w:rPr>
                <w:rFonts w:ascii="Calibri" w:hAnsi="Calibri" w:cs="Calibri"/>
              </w:rPr>
              <w:t xml:space="preserve"> 86/96)</w:t>
            </w:r>
          </w:p>
        </w:tc>
      </w:tr>
    </w:tbl>
    <w:p w14:paraId="16DC0653" w14:textId="77777777" w:rsidR="00E60C2A" w:rsidRPr="002D050C" w:rsidRDefault="00E60C2A" w:rsidP="00E60C2A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7"/>
        <w:gridCol w:w="5323"/>
      </w:tblGrid>
      <w:tr w:rsidR="00E60C2A" w:rsidRPr="002D050C" w14:paraId="0C93148F" w14:textId="77777777" w:rsidTr="00E55672">
        <w:tc>
          <w:tcPr>
            <w:tcW w:w="9210" w:type="dxa"/>
            <w:gridSpan w:val="2"/>
          </w:tcPr>
          <w:p w14:paraId="11EB57C6" w14:textId="77777777" w:rsidR="00E60C2A" w:rsidRPr="002D050C" w:rsidRDefault="00E60C2A" w:rsidP="00E55672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Justificativa da necessidade de RTM/PMAC</w:t>
            </w:r>
          </w:p>
        </w:tc>
      </w:tr>
      <w:tr w:rsidR="00E60C2A" w:rsidRPr="002D050C" w14:paraId="51583CD9" w14:textId="77777777" w:rsidTr="00E55672">
        <w:tc>
          <w:tcPr>
            <w:tcW w:w="3794" w:type="dxa"/>
          </w:tcPr>
          <w:p w14:paraId="01886C53" w14:textId="77777777" w:rsidR="00E60C2A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Justificativa </w:t>
            </w:r>
          </w:p>
          <w:p w14:paraId="69B04C5F" w14:textId="77777777" w:rsidR="00E60C2A" w:rsidRPr="002D050C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4A5F57">
              <w:rPr>
                <w:rFonts w:ascii="Arial" w:hAnsi="Arial" w:cs="Arial"/>
                <w:lang w:val="pt-BR"/>
              </w:rPr>
              <w:t xml:space="preserve">A motivação </w:t>
            </w:r>
            <w:r>
              <w:rPr>
                <w:rFonts w:ascii="Arial" w:hAnsi="Arial" w:cs="Arial"/>
                <w:lang w:val="pt-BR"/>
              </w:rPr>
              <w:t>inicial deve estar relacionada ao problema identificado relativo à</w:t>
            </w:r>
            <w:r w:rsidRPr="004A5F57">
              <w:rPr>
                <w:rFonts w:ascii="Arial" w:hAnsi="Arial" w:cs="Arial"/>
                <w:lang w:val="pt-BR"/>
              </w:rPr>
              <w:t xml:space="preserve"> segurança, proteção à saúde humana, saúde animal e/ou vida vegetal, proteção ambiental, prevenção de práticas comerciais </w:t>
            </w:r>
            <w:proofErr w:type="gramStart"/>
            <w:r w:rsidRPr="004A5F57">
              <w:rPr>
                <w:rFonts w:ascii="Arial" w:hAnsi="Arial" w:cs="Arial"/>
                <w:lang w:val="pt-BR"/>
              </w:rPr>
              <w:t>fraudulentas, etc.</w:t>
            </w:r>
            <w:proofErr w:type="gramEnd"/>
          </w:p>
        </w:tc>
        <w:tc>
          <w:tcPr>
            <w:tcW w:w="5416" w:type="dxa"/>
          </w:tcPr>
          <w:p w14:paraId="2B6EB666" w14:textId="77777777" w:rsidR="00E60C2A" w:rsidRPr="00962E6A" w:rsidRDefault="00E60C2A" w:rsidP="00E55672">
            <w:pPr>
              <w:spacing w:before="120" w:after="120"/>
              <w:rPr>
                <w:rFonts w:ascii="Arial" w:hAnsi="Arial" w:cs="Arial"/>
                <w:iCs/>
                <w:lang w:val="pt-BR"/>
              </w:rPr>
            </w:pPr>
            <w:r>
              <w:rPr>
                <w:rFonts w:ascii="Arial" w:hAnsi="Arial" w:cs="Arial"/>
                <w:i/>
                <w:lang w:val="pt-BR"/>
              </w:rPr>
              <w:t xml:space="preserve">A EFSA publicou em março de 2021 uma opinião científica sobre uma reavaliação do dióxido de titânio como aditivo alimentar. Nesta avaliação, o painel de especialistas da EFSA não descartou uma preocupação sobre a </w:t>
            </w:r>
            <w:proofErr w:type="spellStart"/>
            <w:r>
              <w:rPr>
                <w:rFonts w:ascii="Arial" w:hAnsi="Arial" w:cs="Arial"/>
                <w:i/>
                <w:lang w:val="pt-BR"/>
              </w:rPr>
              <w:t>genotoxicidade</w:t>
            </w:r>
            <w:proofErr w:type="spellEnd"/>
            <w:r>
              <w:rPr>
                <w:rFonts w:ascii="Arial" w:hAnsi="Arial" w:cs="Arial"/>
                <w:i/>
                <w:lang w:val="pt-BR"/>
              </w:rPr>
              <w:t xml:space="preserve"> frente a diversos resultados de estudos positivos tanto in vitro quanto in vivo. Os estudos demonstraram ainda potencial de acumulação da substância em tecidos devido ao tamanho em </w:t>
            </w:r>
            <w:proofErr w:type="spellStart"/>
            <w:r>
              <w:rPr>
                <w:rFonts w:ascii="Arial" w:hAnsi="Arial" w:cs="Arial"/>
                <w:i/>
                <w:lang w:val="pt-BR"/>
              </w:rPr>
              <w:t>nanoescala</w:t>
            </w:r>
            <w:proofErr w:type="spellEnd"/>
            <w:r>
              <w:rPr>
                <w:rFonts w:ascii="Arial" w:hAnsi="Arial" w:cs="Arial"/>
                <w:i/>
                <w:lang w:val="pt-BR"/>
              </w:rPr>
              <w:t xml:space="preserve"> de parte das partículas. Assim, o painel considerou que o uso do dióxido de titânio como aditivo alimentar não era mais considerado como seguro. </w:t>
            </w:r>
          </w:p>
        </w:tc>
      </w:tr>
      <w:tr w:rsidR="00E60C2A" w:rsidRPr="002D050C" w14:paraId="663F7D1F" w14:textId="77777777" w:rsidTr="00E55672">
        <w:tc>
          <w:tcPr>
            <w:tcW w:w="3794" w:type="dxa"/>
          </w:tcPr>
          <w:p w14:paraId="412329D9" w14:textId="77777777" w:rsidR="00E60C2A" w:rsidRPr="002D050C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2D050C">
              <w:rPr>
                <w:rFonts w:ascii="Arial" w:hAnsi="Arial" w:cs="Arial"/>
                <w:lang w:val="pt-BR"/>
              </w:rPr>
              <w:t xml:space="preserve">Alternativas disponíveis </w:t>
            </w:r>
          </w:p>
        </w:tc>
        <w:tc>
          <w:tcPr>
            <w:tcW w:w="5416" w:type="dxa"/>
          </w:tcPr>
          <w:p w14:paraId="7D093B93" w14:textId="77777777" w:rsidR="00E60C2A" w:rsidRPr="00A14D9A" w:rsidRDefault="00E60C2A" w:rsidP="00E55672">
            <w:pPr>
              <w:spacing w:before="120" w:after="120"/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i/>
                <w:lang w:val="pt-BR"/>
              </w:rPr>
              <w:t>Não identificadas</w:t>
            </w:r>
          </w:p>
        </w:tc>
      </w:tr>
      <w:tr w:rsidR="00E60C2A" w:rsidRPr="002D050C" w14:paraId="6B50BA0C" w14:textId="77777777" w:rsidTr="00E55672">
        <w:tc>
          <w:tcPr>
            <w:tcW w:w="3794" w:type="dxa"/>
          </w:tcPr>
          <w:p w14:paraId="2CAFFEE1" w14:textId="77777777" w:rsidR="00E60C2A" w:rsidRPr="004A5F57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</w:t>
            </w:r>
            <w:r w:rsidRPr="002D050C">
              <w:rPr>
                <w:rFonts w:ascii="Arial" w:hAnsi="Arial" w:cs="Arial"/>
                <w:lang w:val="pt-BR"/>
              </w:rPr>
              <w:t xml:space="preserve">ossíveis impactos </w:t>
            </w:r>
            <w:r>
              <w:rPr>
                <w:rFonts w:ascii="Arial" w:hAnsi="Arial" w:cs="Arial"/>
                <w:lang w:val="pt-BR"/>
              </w:rPr>
              <w:t>do RTM/PMAC</w:t>
            </w:r>
            <w:r w:rsidRPr="002D050C">
              <w:rPr>
                <w:rFonts w:ascii="Arial" w:hAnsi="Arial" w:cs="Arial"/>
                <w:lang w:val="pt-BR"/>
              </w:rPr>
              <w:t xml:space="preserve"> (com </w:t>
            </w:r>
            <w:r>
              <w:rPr>
                <w:rFonts w:ascii="Arial" w:hAnsi="Arial" w:cs="Arial"/>
                <w:lang w:val="pt-BR"/>
              </w:rPr>
              <w:t>relação às partes interessadas</w:t>
            </w:r>
            <w:r w:rsidRPr="002D050C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5416" w:type="dxa"/>
          </w:tcPr>
          <w:p w14:paraId="76D1D7CD" w14:textId="77777777" w:rsidR="00E60C2A" w:rsidRPr="00A14D9A" w:rsidRDefault="00E60C2A" w:rsidP="00E55672">
            <w:pPr>
              <w:spacing w:before="120" w:after="120"/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i/>
                <w:lang w:val="pt-BR"/>
              </w:rPr>
              <w:t>A revogação de uso do dióxido de titânio como aditivo alimentar corante impactará em uma reformulação de diversos produtos alimentícios com substitutos, sendo essencial a discussão de prazo de adequação.</w:t>
            </w:r>
          </w:p>
        </w:tc>
      </w:tr>
    </w:tbl>
    <w:p w14:paraId="12FE51D4" w14:textId="77777777" w:rsidR="00E60C2A" w:rsidRDefault="00E60C2A" w:rsidP="00E60C2A">
      <w:pPr>
        <w:rPr>
          <w:rFonts w:ascii="Arial" w:hAnsi="Arial" w:cs="Arial"/>
        </w:rPr>
      </w:pPr>
    </w:p>
    <w:p w14:paraId="4195E20B" w14:textId="77777777" w:rsidR="00E60C2A" w:rsidRDefault="00E60C2A" w:rsidP="00E60C2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0DAA65" w14:textId="77777777" w:rsidR="00E60C2A" w:rsidRPr="002D050C" w:rsidRDefault="00E60C2A" w:rsidP="00E60C2A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2"/>
        <w:gridCol w:w="5808"/>
      </w:tblGrid>
      <w:tr w:rsidR="00E60C2A" w:rsidRPr="002D050C" w14:paraId="3088BDBC" w14:textId="77777777" w:rsidTr="00E55672">
        <w:tc>
          <w:tcPr>
            <w:tcW w:w="9210" w:type="dxa"/>
            <w:gridSpan w:val="2"/>
          </w:tcPr>
          <w:p w14:paraId="5D4EBBD5" w14:textId="77777777" w:rsidR="00E60C2A" w:rsidRPr="002D050C" w:rsidRDefault="00E60C2A" w:rsidP="00E55672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</w:t>
            </w:r>
            <w:r w:rsidRPr="002D050C">
              <w:rPr>
                <w:rFonts w:ascii="Arial" w:hAnsi="Arial" w:cs="Arial"/>
                <w:b/>
                <w:lang w:val="pt-BR"/>
              </w:rPr>
              <w:t xml:space="preserve">eferências </w:t>
            </w:r>
          </w:p>
        </w:tc>
      </w:tr>
      <w:tr w:rsidR="00E60C2A" w:rsidRPr="00664995" w14:paraId="510F1DF7" w14:textId="77777777" w:rsidTr="00E55672">
        <w:tc>
          <w:tcPr>
            <w:tcW w:w="3794" w:type="dxa"/>
          </w:tcPr>
          <w:p w14:paraId="08E3A998" w14:textId="77777777" w:rsidR="00E60C2A" w:rsidRPr="002D050C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Referências internacionais</w:t>
            </w:r>
          </w:p>
        </w:tc>
        <w:tc>
          <w:tcPr>
            <w:tcW w:w="5416" w:type="dxa"/>
          </w:tcPr>
          <w:p w14:paraId="20EDECF6" w14:textId="77777777" w:rsidR="00E60C2A" w:rsidRPr="00507A61" w:rsidRDefault="00E60C2A" w:rsidP="00E55672">
            <w:pPr>
              <w:spacing w:before="120" w:after="120"/>
              <w:rPr>
                <w:rFonts w:ascii="Arial" w:hAnsi="Arial" w:cs="Arial"/>
                <w:i/>
                <w:lang w:val="es-AR"/>
              </w:rPr>
            </w:pPr>
            <w:r w:rsidRPr="00652669">
              <w:rPr>
                <w:rFonts w:ascii="Arial" w:hAnsi="Arial" w:cs="Arial"/>
                <w:i/>
                <w:lang w:val="en-US"/>
              </w:rPr>
              <w:t xml:space="preserve">EFSA FAF Panel Scientific Opinion on the safety assessment of titanium dioxide (E171) as a food additive. </w:t>
            </w:r>
            <w:r w:rsidRPr="00507A61">
              <w:rPr>
                <w:rFonts w:ascii="Arial" w:hAnsi="Arial" w:cs="Arial"/>
                <w:i/>
                <w:lang w:val="es-AR"/>
              </w:rPr>
              <w:t xml:space="preserve">EFSA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Journal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19(5):6585, 2021.</w:t>
            </w:r>
          </w:p>
          <w:p w14:paraId="62A84A72" w14:textId="77777777" w:rsidR="00E60C2A" w:rsidRPr="00507A61" w:rsidRDefault="00E60C2A" w:rsidP="00E55672">
            <w:pPr>
              <w:spacing w:before="120" w:after="120"/>
              <w:rPr>
                <w:rFonts w:ascii="Arial" w:hAnsi="Arial" w:cs="Arial"/>
                <w:i/>
                <w:lang w:val="es-AR"/>
              </w:rPr>
            </w:pPr>
            <w:r w:rsidRPr="00507A61">
              <w:rPr>
                <w:rFonts w:ascii="Arial" w:hAnsi="Arial" w:cs="Arial"/>
                <w:i/>
                <w:lang w:val="es-AR"/>
              </w:rPr>
              <w:t xml:space="preserve">FRANÇA.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Arrêté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du 17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avril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2019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portant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suspension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de la </w:t>
            </w:r>
            <w:proofErr w:type="gramStart"/>
            <w:r w:rsidRPr="00507A61">
              <w:rPr>
                <w:rFonts w:ascii="Arial" w:hAnsi="Arial" w:cs="Arial"/>
                <w:i/>
                <w:lang w:val="es-AR"/>
              </w:rPr>
              <w:t>mise</w:t>
            </w:r>
            <w:proofErr w:type="gramEnd"/>
            <w:r w:rsidRPr="00507A61">
              <w:rPr>
                <w:rFonts w:ascii="Arial" w:hAnsi="Arial" w:cs="Arial"/>
                <w:i/>
                <w:lang w:val="es-AR"/>
              </w:rPr>
              <w:t xml:space="preserve"> sur le marché des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denrées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contenat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l'additif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E 171 (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dioxyde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de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titane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- TiO2),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disponível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em: https://www.legifrance.gouv.fr/jorf/id/JORFTEXT000038410047</w:t>
            </w:r>
          </w:p>
          <w:p w14:paraId="6D3CD047" w14:textId="77777777" w:rsidR="00E60C2A" w:rsidRPr="00507A61" w:rsidRDefault="00E60C2A" w:rsidP="00E55672">
            <w:pPr>
              <w:spacing w:before="120" w:after="120"/>
              <w:rPr>
                <w:rFonts w:ascii="Arial" w:hAnsi="Arial" w:cs="Arial"/>
                <w:i/>
                <w:highlight w:val="yellow"/>
                <w:lang w:val="es-AR"/>
              </w:rPr>
            </w:pPr>
            <w:r w:rsidRPr="00507A61">
              <w:rPr>
                <w:rFonts w:ascii="Arial" w:hAnsi="Arial" w:cs="Arial"/>
                <w:i/>
                <w:lang w:val="es-AR"/>
              </w:rPr>
              <w:t xml:space="preserve">FRANÇA.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Arrêté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du 21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décembre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2020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portant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suspension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de la </w:t>
            </w:r>
            <w:proofErr w:type="gramStart"/>
            <w:r w:rsidRPr="00507A61">
              <w:rPr>
                <w:rFonts w:ascii="Arial" w:hAnsi="Arial" w:cs="Arial"/>
                <w:i/>
                <w:lang w:val="es-AR"/>
              </w:rPr>
              <w:t>mise</w:t>
            </w:r>
            <w:proofErr w:type="gramEnd"/>
            <w:r w:rsidRPr="00507A61">
              <w:rPr>
                <w:rFonts w:ascii="Arial" w:hAnsi="Arial" w:cs="Arial"/>
                <w:i/>
                <w:lang w:val="es-AR"/>
              </w:rPr>
              <w:t xml:space="preserve"> sur le marché des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denrées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contenat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l'additif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E 171 (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dioxyde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de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titane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- TiO2), </w:t>
            </w:r>
            <w:proofErr w:type="spellStart"/>
            <w:r w:rsidRPr="00507A61">
              <w:rPr>
                <w:rFonts w:ascii="Arial" w:hAnsi="Arial" w:cs="Arial"/>
                <w:i/>
                <w:lang w:val="es-AR"/>
              </w:rPr>
              <w:t>disponível</w:t>
            </w:r>
            <w:proofErr w:type="spellEnd"/>
            <w:r w:rsidRPr="00507A61">
              <w:rPr>
                <w:rFonts w:ascii="Arial" w:hAnsi="Arial" w:cs="Arial"/>
                <w:i/>
                <w:lang w:val="es-AR"/>
              </w:rPr>
              <w:t xml:space="preserve"> em https://www.legifrance.gouv.fr/jorf/id/JORFTEXT000042722263</w:t>
            </w:r>
          </w:p>
        </w:tc>
      </w:tr>
      <w:tr w:rsidR="00E60C2A" w:rsidRPr="002D050C" w14:paraId="3FE7C5DC" w14:textId="77777777" w:rsidTr="00E55672">
        <w:tc>
          <w:tcPr>
            <w:tcW w:w="3794" w:type="dxa"/>
          </w:tcPr>
          <w:p w14:paraId="4BFD7568" w14:textId="77777777" w:rsidR="00E60C2A" w:rsidRPr="002D050C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</w:t>
            </w:r>
            <w:r w:rsidRPr="002D050C">
              <w:rPr>
                <w:rFonts w:ascii="Arial" w:hAnsi="Arial" w:cs="Arial"/>
                <w:lang w:val="pt-BR"/>
              </w:rPr>
              <w:t xml:space="preserve">eferências </w:t>
            </w:r>
            <w:r>
              <w:rPr>
                <w:rFonts w:ascii="Arial" w:hAnsi="Arial" w:cs="Arial"/>
                <w:lang w:val="pt-BR"/>
              </w:rPr>
              <w:t xml:space="preserve">regionais ou nacionais </w:t>
            </w:r>
          </w:p>
        </w:tc>
        <w:tc>
          <w:tcPr>
            <w:tcW w:w="5416" w:type="dxa"/>
          </w:tcPr>
          <w:p w14:paraId="558DE71A" w14:textId="77777777" w:rsidR="00E60C2A" w:rsidRPr="002D050C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Não identificadas</w:t>
            </w:r>
          </w:p>
        </w:tc>
      </w:tr>
    </w:tbl>
    <w:p w14:paraId="399E549A" w14:textId="77777777" w:rsidR="00E60C2A" w:rsidRPr="008C7C2D" w:rsidRDefault="00E60C2A" w:rsidP="00E60C2A">
      <w:pPr>
        <w:spacing w:before="120" w:after="12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4"/>
        <w:gridCol w:w="5326"/>
      </w:tblGrid>
      <w:tr w:rsidR="00E60C2A" w:rsidRPr="002D050C" w14:paraId="169AE1A6" w14:textId="77777777" w:rsidTr="00E55672">
        <w:tc>
          <w:tcPr>
            <w:tcW w:w="9210" w:type="dxa"/>
            <w:gridSpan w:val="2"/>
          </w:tcPr>
          <w:p w14:paraId="0A205CF5" w14:textId="77777777" w:rsidR="00E60C2A" w:rsidRPr="002D050C" w:rsidRDefault="00E60C2A" w:rsidP="00E55672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2D050C">
              <w:rPr>
                <w:rFonts w:ascii="Arial" w:hAnsi="Arial" w:cs="Arial"/>
                <w:b/>
                <w:lang w:val="pt-BR"/>
              </w:rPr>
              <w:t xml:space="preserve">Evidências </w:t>
            </w:r>
            <w:r>
              <w:rPr>
                <w:rFonts w:ascii="Arial" w:hAnsi="Arial" w:cs="Arial"/>
                <w:b/>
                <w:lang w:val="pt-BR"/>
              </w:rPr>
              <w:t>do problema identificado no Estado Parte proponente</w:t>
            </w:r>
          </w:p>
        </w:tc>
      </w:tr>
      <w:tr w:rsidR="00E60C2A" w:rsidRPr="00F35722" w14:paraId="358F3237" w14:textId="77777777" w:rsidTr="00E55672">
        <w:tc>
          <w:tcPr>
            <w:tcW w:w="3794" w:type="dxa"/>
          </w:tcPr>
          <w:p w14:paraId="4ECF4B16" w14:textId="77777777" w:rsidR="00E60C2A" w:rsidRPr="002D050C" w:rsidRDefault="00E60C2A" w:rsidP="00E55672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A72729">
              <w:rPr>
                <w:rFonts w:ascii="Arial" w:hAnsi="Arial" w:cs="Arial"/>
                <w:lang w:val="pt-BR"/>
              </w:rPr>
              <w:t>Dados técnicos</w:t>
            </w:r>
            <w:r>
              <w:rPr>
                <w:rFonts w:ascii="Arial" w:hAnsi="Arial" w:cs="Arial"/>
                <w:lang w:val="pt-BR"/>
              </w:rPr>
              <w:t>, científicos</w:t>
            </w:r>
            <w:r w:rsidRPr="00A72729">
              <w:rPr>
                <w:rFonts w:ascii="Arial" w:hAnsi="Arial" w:cs="Arial"/>
                <w:lang w:val="pt-BR"/>
              </w:rPr>
              <w:t xml:space="preserve"> e resultados de estudos </w:t>
            </w:r>
            <w:r>
              <w:rPr>
                <w:rFonts w:ascii="Arial" w:hAnsi="Arial" w:cs="Arial"/>
                <w:lang w:val="pt-BR"/>
              </w:rPr>
              <w:t xml:space="preserve">sobre o problema </w:t>
            </w:r>
            <w:r w:rsidRPr="00A72729">
              <w:rPr>
                <w:rFonts w:ascii="Arial" w:hAnsi="Arial" w:cs="Arial"/>
                <w:lang w:val="pt-BR"/>
              </w:rPr>
              <w:t>realizados pelo Estado Parte</w:t>
            </w:r>
            <w:r>
              <w:rPr>
                <w:rFonts w:ascii="Arial" w:hAnsi="Arial" w:cs="Arial"/>
                <w:lang w:val="pt-BR"/>
              </w:rPr>
              <w:t xml:space="preserve"> proponente</w:t>
            </w:r>
          </w:p>
        </w:tc>
        <w:tc>
          <w:tcPr>
            <w:tcW w:w="5416" w:type="dxa"/>
          </w:tcPr>
          <w:p w14:paraId="01806429" w14:textId="77777777" w:rsidR="00E60C2A" w:rsidRPr="00F35722" w:rsidRDefault="00E60C2A" w:rsidP="00E55672">
            <w:pPr>
              <w:spacing w:before="120" w:after="120"/>
              <w:rPr>
                <w:rFonts w:ascii="Arial" w:hAnsi="Arial" w:cs="Arial"/>
                <w:i/>
                <w:highlight w:val="yellow"/>
                <w:lang w:val="pt-BR"/>
              </w:rPr>
            </w:pPr>
            <w:r w:rsidRPr="000C627B">
              <w:rPr>
                <w:rFonts w:ascii="Arial" w:hAnsi="Arial" w:cs="Arial"/>
                <w:i/>
                <w:lang w:val="pt-BR"/>
              </w:rPr>
              <w:t xml:space="preserve">(descrever, quando existam, informações técnicas levantadas, como documentação técnico-científica, informação sobre forma de utilização do produto, nível de exposição, </w:t>
            </w:r>
            <w:r>
              <w:rPr>
                <w:rFonts w:ascii="Arial" w:hAnsi="Arial" w:cs="Arial"/>
                <w:i/>
                <w:lang w:val="pt-BR"/>
              </w:rPr>
              <w:t xml:space="preserve">acidentes, frequência com que o problema </w:t>
            </w:r>
            <w:proofErr w:type="gramStart"/>
            <w:r>
              <w:rPr>
                <w:rFonts w:ascii="Arial" w:hAnsi="Arial" w:cs="Arial"/>
                <w:i/>
                <w:lang w:val="pt-BR"/>
              </w:rPr>
              <w:t>ocorre</w:t>
            </w:r>
            <w:r w:rsidRPr="000C627B">
              <w:rPr>
                <w:rFonts w:ascii="Arial" w:hAnsi="Arial" w:cs="Arial"/>
                <w:i/>
                <w:lang w:val="pt-BR"/>
              </w:rPr>
              <w:t xml:space="preserve">, </w:t>
            </w:r>
            <w:proofErr w:type="spellStart"/>
            <w:r w:rsidRPr="000C627B">
              <w:rPr>
                <w:rFonts w:ascii="Arial" w:hAnsi="Arial" w:cs="Arial"/>
                <w:i/>
                <w:lang w:val="pt-BR"/>
              </w:rPr>
              <w:t>etc</w:t>
            </w:r>
            <w:proofErr w:type="spellEnd"/>
            <w:proofErr w:type="gramEnd"/>
            <w:r w:rsidRPr="000C627B">
              <w:rPr>
                <w:rFonts w:ascii="Arial" w:hAnsi="Arial" w:cs="Arial"/>
                <w:i/>
                <w:lang w:val="pt-BR"/>
              </w:rPr>
              <w:t>)</w:t>
            </w:r>
          </w:p>
        </w:tc>
      </w:tr>
    </w:tbl>
    <w:p w14:paraId="51864019" w14:textId="77777777" w:rsidR="00E60C2A" w:rsidRDefault="00E60C2A" w:rsidP="00E60C2A">
      <w:pPr>
        <w:rPr>
          <w:rFonts w:ascii="Arial" w:hAnsi="Arial" w:cs="Arial"/>
          <w:sz w:val="24"/>
          <w:szCs w:val="24"/>
        </w:rPr>
      </w:pPr>
    </w:p>
    <w:p w14:paraId="2655D567" w14:textId="77777777" w:rsidR="00E60C2A" w:rsidRDefault="00E60C2A" w:rsidP="00E60C2A">
      <w:pPr>
        <w:rPr>
          <w:rFonts w:ascii="Arial" w:hAnsi="Arial" w:cs="Arial"/>
          <w:sz w:val="24"/>
          <w:szCs w:val="24"/>
        </w:rPr>
      </w:pPr>
    </w:p>
    <w:p w14:paraId="45E88D7C" w14:textId="77777777" w:rsidR="00E60C2A" w:rsidRPr="002D050C" w:rsidRDefault="00E60C2A" w:rsidP="00E60C2A">
      <w:pPr>
        <w:rPr>
          <w:rFonts w:ascii="Arial" w:hAnsi="Arial" w:cs="Arial"/>
          <w:sz w:val="24"/>
          <w:szCs w:val="24"/>
        </w:rPr>
      </w:pPr>
    </w:p>
    <w:p w14:paraId="0588A950" w14:textId="77777777" w:rsidR="00E60C2A" w:rsidRPr="007D6085" w:rsidRDefault="00E60C2A" w:rsidP="00E60C2A">
      <w:pPr>
        <w:jc w:val="center"/>
        <w:rPr>
          <w:rFonts w:ascii="Arial" w:hAnsi="Arial" w:cs="Arial"/>
          <w:b/>
          <w:sz w:val="24"/>
          <w:szCs w:val="24"/>
        </w:rPr>
      </w:pPr>
    </w:p>
    <w:p w14:paraId="66D41EAD" w14:textId="77777777" w:rsidR="00E60C2A" w:rsidRDefault="00E60C2A" w:rsidP="00E60C2A"/>
    <w:p w14:paraId="0E324D8D" w14:textId="77777777" w:rsidR="00BC64DE" w:rsidRDefault="00841CC4"/>
    <w:sectPr w:rsidR="00BC64DE" w:rsidSect="00D26AA3">
      <w:footerReference w:type="default" r:id="rId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4336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2A9D106" w14:textId="77777777" w:rsidR="00EF46FB" w:rsidRPr="00EF46FB" w:rsidRDefault="00841CC4">
        <w:pPr>
          <w:pStyle w:val="Rodap"/>
          <w:jc w:val="right"/>
          <w:rPr>
            <w:rFonts w:ascii="Arial" w:hAnsi="Arial" w:cs="Arial"/>
          </w:rPr>
        </w:pPr>
        <w:r w:rsidRPr="00EF46FB">
          <w:rPr>
            <w:rFonts w:ascii="Arial" w:hAnsi="Arial" w:cs="Arial"/>
          </w:rPr>
          <w:fldChar w:fldCharType="begin"/>
        </w:r>
        <w:r w:rsidRPr="00EF46FB">
          <w:rPr>
            <w:rFonts w:ascii="Arial" w:hAnsi="Arial" w:cs="Arial"/>
          </w:rPr>
          <w:instrText xml:space="preserve">PAGE   \* </w:instrText>
        </w:r>
        <w:r w:rsidRPr="00EF46FB">
          <w:rPr>
            <w:rFonts w:ascii="Arial" w:hAnsi="Arial" w:cs="Arial"/>
          </w:rPr>
          <w:instrText>MERGEFORMAT</w:instrText>
        </w:r>
        <w:r w:rsidRPr="00EF46FB">
          <w:rPr>
            <w:rFonts w:ascii="Arial" w:hAnsi="Arial" w:cs="Arial"/>
          </w:rPr>
          <w:fldChar w:fldCharType="separate"/>
        </w:r>
        <w:r w:rsidRPr="00507A61">
          <w:rPr>
            <w:rFonts w:ascii="Arial" w:hAnsi="Arial" w:cs="Arial"/>
            <w:noProof/>
            <w:lang w:val="es-ES"/>
          </w:rPr>
          <w:t>4</w:t>
        </w:r>
        <w:r w:rsidRPr="00EF46FB">
          <w:rPr>
            <w:rFonts w:ascii="Arial" w:hAnsi="Arial" w:cs="Arial"/>
          </w:rPr>
          <w:fldChar w:fldCharType="end"/>
        </w:r>
      </w:p>
    </w:sdtContent>
  </w:sdt>
  <w:p w14:paraId="77C4CEE2" w14:textId="77777777" w:rsidR="0040640A" w:rsidRDefault="00841CC4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0A1"/>
    <w:multiLevelType w:val="multilevel"/>
    <w:tmpl w:val="3E7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22"/>
    <w:rsid w:val="00841CC4"/>
    <w:rsid w:val="009A789D"/>
    <w:rsid w:val="009D5E44"/>
    <w:rsid w:val="00E57F22"/>
    <w:rsid w:val="00E6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1463"/>
  <w15:chartTrackingRefBased/>
  <w15:docId w15:val="{7A280772-6D5F-4B5B-BE64-56BE8EAE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60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C2A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elacomgrade">
    <w:name w:val="Table Grid"/>
    <w:basedOn w:val="Tabelanormal"/>
    <w:uiPriority w:val="59"/>
    <w:rsid w:val="00E60C2A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E60C2A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938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Lanius Rauber</dc:creator>
  <cp:keywords/>
  <dc:description/>
  <cp:lastModifiedBy>Tiago Lanius Rauber</cp:lastModifiedBy>
  <cp:revision>3</cp:revision>
  <dcterms:created xsi:type="dcterms:W3CDTF">2021-09-03T21:34:00Z</dcterms:created>
  <dcterms:modified xsi:type="dcterms:W3CDTF">2021-09-08T17:36:00Z</dcterms:modified>
</cp:coreProperties>
</file>